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F0F" w:rsidRPr="00420F0F" w:rsidRDefault="00420F0F" w:rsidP="00151219">
      <w:pPr>
        <w:pStyle w:val="1"/>
        <w:spacing w:line="360" w:lineRule="auto"/>
      </w:pPr>
      <w:r w:rsidRPr="00420F0F">
        <w:t>Уведомления ОФР в ФНС</w:t>
      </w:r>
    </w:p>
    <w:p w:rsidR="00420F0F" w:rsidRPr="00420F0F" w:rsidRDefault="00420F0F" w:rsidP="00151219">
      <w:pPr>
        <w:rPr>
          <w:lang w:eastAsia="ru-RU"/>
        </w:rPr>
      </w:pPr>
      <w:r w:rsidRPr="00420F0F">
        <w:rPr>
          <w:lang w:eastAsia="ru-RU"/>
        </w:rPr>
        <w:t>В соответствии с требованиями </w:t>
      </w:r>
      <w:hyperlink r:id="rId7" w:anchor="oExyB8VJpinl4Au4" w:history="1">
        <w:r w:rsidRPr="006C3A24">
          <w:rPr>
            <w:rStyle w:val="a5"/>
            <w:lang w:eastAsia="ru-RU"/>
          </w:rPr>
          <w:t>ст. 3</w:t>
        </w:r>
      </w:hyperlink>
      <w:r w:rsidR="006C3A24" w:rsidRPr="006C3A24">
        <w:rPr>
          <w:color w:val="2A68D2"/>
          <w:lang w:eastAsia="ru-RU"/>
        </w:rPr>
        <w:t xml:space="preserve"> </w:t>
      </w:r>
      <w:r w:rsidRPr="00420F0F">
        <w:rPr>
          <w:lang w:eastAsia="ru-RU"/>
        </w:rPr>
        <w:t>Федерального закона от 28.06.2014 № 173-ФЗ ОФР обязаны осуществлять информационное взаимодействие с уполномоченными органами. Они должны передавать в ФНС уведомления четырех видов:</w:t>
      </w:r>
    </w:p>
    <w:p w:rsidR="00420F0F" w:rsidRPr="00420F0F" w:rsidRDefault="00420F0F" w:rsidP="00151219">
      <w:pPr>
        <w:pStyle w:val="a6"/>
        <w:numPr>
          <w:ilvl w:val="0"/>
          <w:numId w:val="7"/>
        </w:numPr>
        <w:rPr>
          <w:lang w:eastAsia="ru-RU"/>
        </w:rPr>
      </w:pPr>
      <w:r w:rsidRPr="00420F0F">
        <w:rPr>
          <w:lang w:eastAsia="ru-RU"/>
        </w:rPr>
        <w:t>О регистрации в иностранном налоговом органе, совершенной для представления сведений, - </w:t>
      </w:r>
      <w:r w:rsidRPr="00151219">
        <w:rPr>
          <w:color w:val="00B050"/>
          <w:lang w:eastAsia="ru-RU"/>
        </w:rPr>
        <w:t>не позднее 3 рабочих дней с даты регистрации</w:t>
      </w:r>
      <w:r w:rsidRPr="00420F0F">
        <w:rPr>
          <w:lang w:eastAsia="ru-RU"/>
        </w:rPr>
        <w:t>;</w:t>
      </w:r>
    </w:p>
    <w:p w:rsidR="00420F0F" w:rsidRPr="00420F0F" w:rsidRDefault="00420F0F" w:rsidP="00151219">
      <w:pPr>
        <w:pStyle w:val="a6"/>
        <w:numPr>
          <w:ilvl w:val="0"/>
          <w:numId w:val="7"/>
        </w:numPr>
        <w:rPr>
          <w:lang w:eastAsia="ru-RU"/>
        </w:rPr>
      </w:pPr>
      <w:r w:rsidRPr="00420F0F">
        <w:rPr>
          <w:lang w:eastAsia="ru-RU"/>
        </w:rPr>
        <w:t>О выявлении клиента – иностранного налогоплательщика – </w:t>
      </w:r>
      <w:r w:rsidRPr="00151219">
        <w:rPr>
          <w:color w:val="00B050"/>
          <w:lang w:eastAsia="ru-RU"/>
        </w:rPr>
        <w:t>не позднее конца рабочего дня, следующего за днем получения согласия клиента</w:t>
      </w:r>
      <w:r w:rsidRPr="00420F0F">
        <w:rPr>
          <w:lang w:eastAsia="ru-RU"/>
        </w:rPr>
        <w:t>;</w:t>
      </w:r>
    </w:p>
    <w:p w:rsidR="00420F0F" w:rsidRPr="00420F0F" w:rsidRDefault="00420F0F" w:rsidP="00151219">
      <w:pPr>
        <w:pStyle w:val="a6"/>
        <w:numPr>
          <w:ilvl w:val="0"/>
          <w:numId w:val="7"/>
        </w:numPr>
        <w:rPr>
          <w:lang w:eastAsia="ru-RU"/>
        </w:rPr>
      </w:pPr>
      <w:r w:rsidRPr="00420F0F">
        <w:rPr>
          <w:lang w:eastAsia="ru-RU"/>
        </w:rPr>
        <w:t>О получении от иностранного налогового органа запроса на предоставление информации о таком клиенте – </w:t>
      </w:r>
      <w:r w:rsidRPr="00151219">
        <w:rPr>
          <w:color w:val="00B050"/>
          <w:lang w:eastAsia="ru-RU"/>
        </w:rPr>
        <w:t>не позднее 2 рабочих дней, следующих за днем получения запроса</w:t>
      </w:r>
      <w:r w:rsidRPr="00420F0F">
        <w:rPr>
          <w:lang w:eastAsia="ru-RU"/>
        </w:rPr>
        <w:t>;</w:t>
      </w:r>
    </w:p>
    <w:p w:rsidR="00420F0F" w:rsidRPr="00420F0F" w:rsidRDefault="00420F0F" w:rsidP="00151219">
      <w:pPr>
        <w:pStyle w:val="a6"/>
        <w:numPr>
          <w:ilvl w:val="0"/>
          <w:numId w:val="7"/>
        </w:numPr>
        <w:rPr>
          <w:lang w:eastAsia="ru-RU"/>
        </w:rPr>
      </w:pPr>
      <w:r w:rsidRPr="00420F0F">
        <w:rPr>
          <w:lang w:eastAsia="ru-RU"/>
        </w:rPr>
        <w:t>О направлении информации в иностранный налоговый орган – </w:t>
      </w:r>
      <w:r w:rsidRPr="00151219">
        <w:rPr>
          <w:color w:val="00B050"/>
          <w:lang w:eastAsia="ru-RU"/>
        </w:rPr>
        <w:t>не позднее 10 рабочих дней до дня направления информации</w:t>
      </w:r>
      <w:r w:rsidRPr="00420F0F">
        <w:rPr>
          <w:lang w:eastAsia="ru-RU"/>
        </w:rPr>
        <w:t>.</w:t>
      </w:r>
    </w:p>
    <w:p w:rsidR="00420F0F" w:rsidRPr="00420F0F" w:rsidRDefault="00420F0F" w:rsidP="00151219">
      <w:pPr>
        <w:rPr>
          <w:lang w:eastAsia="ru-RU"/>
        </w:rPr>
      </w:pPr>
      <w:r w:rsidRPr="00420F0F">
        <w:rPr>
          <w:lang w:eastAsia="ru-RU"/>
        </w:rPr>
        <w:t>Сроки сдачи уведомлений указаны в </w:t>
      </w:r>
      <w:hyperlink r:id="rId8" w:anchor="oExyB8VJpinl4Au4" w:history="1">
        <w:r w:rsidRPr="006C3A24">
          <w:rPr>
            <w:rStyle w:val="a5"/>
            <w:lang w:eastAsia="ru-RU"/>
          </w:rPr>
          <w:t>ст. 3</w:t>
        </w:r>
      </w:hyperlink>
      <w:r w:rsidRPr="00420F0F">
        <w:rPr>
          <w:lang w:eastAsia="ru-RU"/>
        </w:rPr>
        <w:t xml:space="preserve"> Федерального закона № 173-ФЗ, а также в </w:t>
      </w:r>
      <w:hyperlink r:id="rId9" w:history="1">
        <w:r w:rsidRPr="006C3A24">
          <w:rPr>
            <w:rStyle w:val="a5"/>
            <w:lang w:eastAsia="ru-RU"/>
          </w:rPr>
          <w:t>п. 3-6</w:t>
        </w:r>
      </w:hyperlink>
      <w:r w:rsidRPr="00420F0F">
        <w:rPr>
          <w:lang w:eastAsia="ru-RU"/>
        </w:rPr>
        <w:t xml:space="preserve"> Положения о передаче информации ОФР в уполномоченные органы, утвержденного </w:t>
      </w:r>
      <w:r w:rsidRPr="00151219">
        <w:rPr>
          <w:lang w:eastAsia="ru-RU"/>
        </w:rPr>
        <w:t>Постановлением</w:t>
      </w:r>
      <w:r w:rsidRPr="00420F0F">
        <w:rPr>
          <w:lang w:eastAsia="ru-RU"/>
        </w:rPr>
        <w:t> Правительства РФ от 26.11.2015 № 1267, и в </w:t>
      </w:r>
      <w:hyperlink r:id="rId10" w:tgtFrame="_blank" w:history="1">
        <w:r w:rsidRPr="00420F0F">
          <w:rPr>
            <w:color w:val="2A68D2"/>
            <w:u w:val="single"/>
            <w:lang w:eastAsia="ru-RU"/>
          </w:rPr>
          <w:t>р</w:t>
        </w:r>
        <w:r w:rsidRPr="00420F0F">
          <w:rPr>
            <w:color w:val="2A68D2"/>
            <w:u w:val="single"/>
            <w:lang w:eastAsia="ru-RU"/>
          </w:rPr>
          <w:t>а</w:t>
        </w:r>
        <w:r w:rsidRPr="00420F0F">
          <w:rPr>
            <w:color w:val="2A68D2"/>
            <w:u w:val="single"/>
            <w:lang w:eastAsia="ru-RU"/>
          </w:rPr>
          <w:t>зделе</w:t>
        </w:r>
      </w:hyperlink>
      <w:r w:rsidRPr="00420F0F">
        <w:rPr>
          <w:lang w:eastAsia="ru-RU"/>
        </w:rPr>
        <w:t> «Направление информации организациями финансового рынка» сайта ФНС.</w:t>
      </w:r>
    </w:p>
    <w:p w:rsidR="00420F0F" w:rsidRPr="00420F0F" w:rsidRDefault="00420F0F" w:rsidP="00151219">
      <w:pPr>
        <w:rPr>
          <w:lang w:eastAsia="ru-RU"/>
        </w:rPr>
      </w:pPr>
      <w:r w:rsidRPr="00420F0F">
        <w:rPr>
          <w:lang w:eastAsia="ru-RU"/>
        </w:rPr>
        <w:t>Обращаем внимание, что за непредставление уведомлений для ОФР предусмотрена ответственность в виде административных штрафов по </w:t>
      </w:r>
      <w:hyperlink r:id="rId11" w:history="1">
        <w:r w:rsidRPr="006C3A24">
          <w:rPr>
            <w:rStyle w:val="a5"/>
            <w:lang w:eastAsia="ru-RU"/>
          </w:rPr>
          <w:t>ст. 15.27.2 КоАП РФ</w:t>
        </w:r>
      </w:hyperlink>
      <w:r w:rsidRPr="00420F0F">
        <w:rPr>
          <w:lang w:eastAsia="ru-RU"/>
        </w:rPr>
        <w:t xml:space="preserve">. Так, за непредставление уведомлений о выявлении клиента – иностранного налогоплательщика или о получении запроса от иностранного налогового органа может быть наложен штраф на должностных лиц в размере от 20 до 30 тыс. руб., на организации – от 300 до 500 тыс. руб. Если не представлено уведомление о регистрации в иностранном налоговом органе, это влечет наложение штрафа на должностных лиц в размере от 30 до 40 тыс. руб., на организации – от 500 до 700 тыс. руб. А за </w:t>
      </w:r>
      <w:r w:rsidR="007A64C2">
        <w:rPr>
          <w:lang w:eastAsia="ru-RU"/>
        </w:rPr>
        <w:t xml:space="preserve">сдачу </w:t>
      </w:r>
      <w:r w:rsidR="007A64C2" w:rsidRPr="00420F0F">
        <w:rPr>
          <w:lang w:eastAsia="ru-RU"/>
        </w:rPr>
        <w:t xml:space="preserve">информации в </w:t>
      </w:r>
      <w:r w:rsidR="007A64C2">
        <w:rPr>
          <w:lang w:val="en-US" w:eastAsia="ru-RU"/>
        </w:rPr>
        <w:t>IRS</w:t>
      </w:r>
      <w:r w:rsidR="007A64C2" w:rsidRPr="00420F0F">
        <w:rPr>
          <w:lang w:eastAsia="ru-RU"/>
        </w:rPr>
        <w:t xml:space="preserve"> </w:t>
      </w:r>
      <w:r w:rsidR="00C258C4">
        <w:rPr>
          <w:lang w:eastAsia="ru-RU"/>
        </w:rPr>
        <w:t xml:space="preserve">в нарушение законодательства (например: </w:t>
      </w:r>
      <w:r w:rsidR="007A64C2">
        <w:rPr>
          <w:lang w:eastAsia="ru-RU"/>
        </w:rPr>
        <w:t>без направления предварительного</w:t>
      </w:r>
      <w:r w:rsidRPr="00420F0F">
        <w:rPr>
          <w:lang w:eastAsia="ru-RU"/>
        </w:rPr>
        <w:t xml:space="preserve"> уведомления о</w:t>
      </w:r>
      <w:r w:rsidR="007A64C2">
        <w:rPr>
          <w:lang w:eastAsia="ru-RU"/>
        </w:rPr>
        <w:t>б этом либо после получения запрета на передачу данных</w:t>
      </w:r>
      <w:r w:rsidR="00C258C4">
        <w:rPr>
          <w:lang w:eastAsia="ru-RU"/>
        </w:rPr>
        <w:t>)</w:t>
      </w:r>
      <w:r w:rsidR="007A64C2">
        <w:rPr>
          <w:lang w:eastAsia="ru-RU"/>
        </w:rPr>
        <w:t xml:space="preserve"> </w:t>
      </w:r>
      <w:r w:rsidRPr="00420F0F">
        <w:rPr>
          <w:lang w:eastAsia="ru-RU"/>
        </w:rPr>
        <w:t>предусмотрены самые существенные штрафы: на должностных лиц в размере от 40 до 50 тыс. руб., на организации – от 700 тыс. до 1 млн. руб.</w:t>
      </w:r>
    </w:p>
    <w:p w:rsidR="00420F0F" w:rsidRPr="00420F0F" w:rsidRDefault="00420F0F" w:rsidP="00151219">
      <w:pPr>
        <w:pStyle w:val="1"/>
      </w:pPr>
      <w:r w:rsidRPr="00420F0F">
        <w:t>Подготовка и отправка уведомлений ОФР в «Баланс-2W»</w:t>
      </w:r>
    </w:p>
    <w:p w:rsidR="00420F0F" w:rsidRPr="00420F0F" w:rsidRDefault="00420F0F" w:rsidP="00151219">
      <w:pPr>
        <w:rPr>
          <w:lang w:eastAsia="ru-RU"/>
        </w:rPr>
      </w:pPr>
      <w:r w:rsidRPr="00420F0F">
        <w:rPr>
          <w:lang w:eastAsia="ru-RU"/>
        </w:rPr>
        <w:t xml:space="preserve">Подготовить все четыре вида уведомлений ОФР можно в актуальной версии программы «Баланс-2W» в комплекте отчетности «Отчетность организаций финансового рынка». Программа предоставляет возможность формирования xml-файлов, транспортных контейнеров для передачи через специализированные сайты </w:t>
      </w:r>
      <w:r w:rsidR="00C258C4">
        <w:rPr>
          <w:lang w:eastAsia="ru-RU"/>
        </w:rPr>
        <w:t xml:space="preserve">в </w:t>
      </w:r>
      <w:r w:rsidRPr="00420F0F">
        <w:rPr>
          <w:lang w:eastAsia="ru-RU"/>
        </w:rPr>
        <w:t>Интернете в электронном виде, а также печатных форм документов. Для работы с указанными функциями в полнофункциональном режиме необходимо </w:t>
      </w:r>
      <w:r w:rsidRPr="00420F0F">
        <w:rPr>
          <w:u w:val="single"/>
          <w:lang w:eastAsia="ru-RU"/>
        </w:rPr>
        <w:t>приобрести лицензию</w:t>
      </w:r>
      <w:r w:rsidRPr="00420F0F">
        <w:rPr>
          <w:lang w:eastAsia="ru-RU"/>
        </w:rPr>
        <w:t> на работу в «Баланс-2W» с комплектом документов «Отчетность организаций финансового рынка».</w:t>
      </w:r>
    </w:p>
    <w:p w:rsidR="00420F0F" w:rsidRPr="00420F0F" w:rsidRDefault="00420F0F" w:rsidP="00151219">
      <w:pPr>
        <w:rPr>
          <w:lang w:eastAsia="ru-RU"/>
        </w:rPr>
      </w:pPr>
      <w:r w:rsidRPr="00420F0F">
        <w:rPr>
          <w:lang w:eastAsia="ru-RU"/>
        </w:rPr>
        <w:t>Согласно п. 7 Положения, утвержденного </w:t>
      </w:r>
      <w:hyperlink r:id="rId12" w:tgtFrame="_blank" w:history="1">
        <w:r w:rsidRPr="00420F0F">
          <w:rPr>
            <w:color w:val="2A68D2"/>
            <w:u w:val="single"/>
            <w:lang w:eastAsia="ru-RU"/>
          </w:rPr>
          <w:t>Постановлением</w:t>
        </w:r>
      </w:hyperlink>
      <w:r w:rsidRPr="00420F0F">
        <w:rPr>
          <w:lang w:eastAsia="ru-RU"/>
        </w:rPr>
        <w:t> № 1267 уведомления ОФР должны представляться в ФНС в электронной форме через интерактивный </w:t>
      </w:r>
      <w:hyperlink r:id="rId13" w:tgtFrame="_blank" w:history="1">
        <w:r w:rsidRPr="00420F0F">
          <w:rPr>
            <w:color w:val="2A68D2"/>
            <w:u w:val="single"/>
            <w:lang w:eastAsia="ru-RU"/>
          </w:rPr>
          <w:t>сервис</w:t>
        </w:r>
      </w:hyperlink>
      <w:r w:rsidRPr="00420F0F">
        <w:rPr>
          <w:lang w:eastAsia="ru-RU"/>
        </w:rPr>
        <w:t> на сайте ФНС. Через сервис можно передать только файл транспортного контейнера, содержащий файл с уведомлением. </w:t>
      </w:r>
      <w:r w:rsidRPr="00420F0F">
        <w:rPr>
          <w:b/>
          <w:bCs/>
          <w:lang w:eastAsia="ru-RU"/>
        </w:rPr>
        <w:t xml:space="preserve">Программа «Баланс-2W» позволяет сформировать такой файл транспортного контейнера в соответствии с установленными требованиями. Также </w:t>
      </w:r>
      <w:r w:rsidR="00151219">
        <w:rPr>
          <w:b/>
          <w:bCs/>
          <w:lang w:eastAsia="ru-RU"/>
        </w:rPr>
        <w:t>имеется</w:t>
      </w:r>
      <w:r w:rsidRPr="00420F0F">
        <w:rPr>
          <w:b/>
          <w:bCs/>
          <w:lang w:eastAsia="ru-RU"/>
        </w:rPr>
        <w:t xml:space="preserve"> возможность передачи файла транспортного контейнера напрямую из программы «Баланс-2W» на сервис ФНС.</w:t>
      </w:r>
    </w:p>
    <w:p w:rsidR="00420F0F" w:rsidRPr="00420F0F" w:rsidRDefault="00420F0F" w:rsidP="00151219">
      <w:pPr>
        <w:rPr>
          <w:lang w:eastAsia="ru-RU"/>
        </w:rPr>
      </w:pPr>
      <w:r w:rsidRPr="00420F0F">
        <w:rPr>
          <w:lang w:eastAsia="ru-RU"/>
        </w:rPr>
        <w:t>После передачи уведомления ФНС в сервисе направит квитанцию о приеме информации либо уведомление об отказе в приеме информации. Если направлена квитанция о приеме, то данные будут </w:t>
      </w:r>
      <w:hyperlink r:id="rId14" w:tgtFrame="_blank" w:history="1">
        <w:r w:rsidRPr="00420F0F">
          <w:rPr>
            <w:color w:val="2A68D2"/>
            <w:u w:val="single"/>
            <w:lang w:eastAsia="ru-RU"/>
          </w:rPr>
          <w:t>автоматически переданы</w:t>
        </w:r>
      </w:hyperlink>
      <w:r w:rsidRPr="00420F0F">
        <w:rPr>
          <w:lang w:eastAsia="ru-RU"/>
        </w:rPr>
        <w:t> в Росфинмониторинг и Банк России.</w:t>
      </w:r>
    </w:p>
    <w:p w:rsidR="00366A39" w:rsidRDefault="00071DFC" w:rsidP="00151219"/>
    <w:sectPr w:rsidR="00366A39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DFC" w:rsidRDefault="00071DFC" w:rsidP="00151219">
      <w:pPr>
        <w:spacing w:before="0" w:after="0" w:line="240" w:lineRule="auto"/>
      </w:pPr>
      <w:r>
        <w:separator/>
      </w:r>
    </w:p>
  </w:endnote>
  <w:endnote w:type="continuationSeparator" w:id="0">
    <w:p w:rsidR="00071DFC" w:rsidRDefault="00071DFC" w:rsidP="001512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1866107"/>
      <w:docPartObj>
        <w:docPartGallery w:val="Page Numbers (Bottom of Page)"/>
        <w:docPartUnique/>
      </w:docPartObj>
    </w:sdtPr>
    <w:sdtEndPr/>
    <w:sdtContent>
      <w:p w:rsidR="00151219" w:rsidRDefault="001512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8C4">
          <w:rPr>
            <w:noProof/>
          </w:rPr>
          <w:t>2</w:t>
        </w:r>
        <w:r>
          <w:fldChar w:fldCharType="end"/>
        </w:r>
      </w:p>
    </w:sdtContent>
  </w:sdt>
  <w:p w:rsidR="00151219" w:rsidRDefault="001512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DFC" w:rsidRDefault="00071DFC" w:rsidP="00151219">
      <w:pPr>
        <w:spacing w:before="0" w:after="0" w:line="240" w:lineRule="auto"/>
      </w:pPr>
      <w:r>
        <w:separator/>
      </w:r>
    </w:p>
  </w:footnote>
  <w:footnote w:type="continuationSeparator" w:id="0">
    <w:p w:rsidR="00071DFC" w:rsidRDefault="00071DFC" w:rsidP="0015121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6DA3"/>
    <w:multiLevelType w:val="hybridMultilevel"/>
    <w:tmpl w:val="D9425B28"/>
    <w:lvl w:ilvl="0" w:tplc="650865D4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91F5A"/>
    <w:multiLevelType w:val="hybridMultilevel"/>
    <w:tmpl w:val="05945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946F2"/>
    <w:multiLevelType w:val="multilevel"/>
    <w:tmpl w:val="0419001D"/>
    <w:styleLink w:val="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FF20406"/>
    <w:multiLevelType w:val="multilevel"/>
    <w:tmpl w:val="F43A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5C6B08"/>
    <w:multiLevelType w:val="multilevel"/>
    <w:tmpl w:val="0419001D"/>
    <w:styleLink w:val="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0C3F6E"/>
    <w:multiLevelType w:val="multilevel"/>
    <w:tmpl w:val="17BE42AA"/>
    <w:lvl w:ilvl="0">
      <w:start w:val="2"/>
      <w:numFmt w:val="decimal"/>
      <w:lvlText w:val="%1"/>
      <w:lvlJc w:val="left"/>
      <w:pPr>
        <w:tabs>
          <w:tab w:val="num" w:pos="1069"/>
        </w:tabs>
        <w:ind w:left="0" w:firstLine="709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637"/>
        </w:tabs>
        <w:ind w:left="568" w:firstLine="709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0" w:firstLine="709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3261" w:hanging="113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3135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327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3"/>
        </w:tabs>
        <w:ind w:left="342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1"/>
        </w:tabs>
        <w:ind w:left="3711" w:hanging="15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0F"/>
    <w:rsid w:val="00071DFC"/>
    <w:rsid w:val="000A0900"/>
    <w:rsid w:val="000B018E"/>
    <w:rsid w:val="00151219"/>
    <w:rsid w:val="00413B5D"/>
    <w:rsid w:val="00420F0F"/>
    <w:rsid w:val="005205B6"/>
    <w:rsid w:val="006C3A24"/>
    <w:rsid w:val="00796C19"/>
    <w:rsid w:val="007A64C2"/>
    <w:rsid w:val="00A314DF"/>
    <w:rsid w:val="00C258C4"/>
    <w:rsid w:val="00C36CF9"/>
    <w:rsid w:val="00E2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7FB0E-E2D4-4ACB-BFFE-6A294C4D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219"/>
    <w:pPr>
      <w:spacing w:before="120" w:after="120" w:line="360" w:lineRule="auto"/>
      <w:ind w:firstLine="709"/>
      <w:contextualSpacing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2"/>
    <w:uiPriority w:val="9"/>
    <w:qFormat/>
    <w:rsid w:val="00A314DF"/>
    <w:pPr>
      <w:numPr>
        <w:numId w:val="2"/>
      </w:num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20F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Нумерованный 2"/>
    <w:basedOn w:val="a"/>
    <w:next w:val="a"/>
    <w:rsid w:val="00E2524D"/>
    <w:pPr>
      <w:numPr>
        <w:ilvl w:val="1"/>
        <w:numId w:val="1"/>
      </w:numPr>
      <w:tabs>
        <w:tab w:val="left" w:pos="1276"/>
      </w:tabs>
      <w:spacing w:after="0"/>
    </w:pPr>
    <w:rPr>
      <w:rFonts w:eastAsia="Times New Roman" w:cs="Times New Roman"/>
      <w:szCs w:val="24"/>
      <w:lang w:eastAsia="ru-RU"/>
    </w:rPr>
  </w:style>
  <w:style w:type="character" w:customStyle="1" w:styleId="12">
    <w:name w:val="Заголовок 1 Знак"/>
    <w:basedOn w:val="a0"/>
    <w:link w:val="1"/>
    <w:uiPriority w:val="9"/>
    <w:rsid w:val="00A314DF"/>
    <w:rPr>
      <w:rFonts w:ascii="Arial" w:eastAsia="Times New Roman" w:hAnsi="Arial" w:cs="Times New Roman"/>
      <w:b/>
      <w:bCs/>
      <w:kern w:val="36"/>
      <w:sz w:val="32"/>
      <w:szCs w:val="48"/>
      <w:lang w:eastAsia="ru-RU"/>
    </w:rPr>
  </w:style>
  <w:style w:type="numbering" w:customStyle="1" w:styleId="11">
    <w:name w:val="Список_маркированный_1"/>
    <w:basedOn w:val="a2"/>
    <w:uiPriority w:val="99"/>
    <w:rsid w:val="00A314DF"/>
    <w:pPr>
      <w:numPr>
        <w:numId w:val="4"/>
      </w:numPr>
    </w:pPr>
  </w:style>
  <w:style w:type="numbering" w:customStyle="1" w:styleId="10">
    <w:name w:val="Маркированный_1"/>
    <w:basedOn w:val="a2"/>
    <w:uiPriority w:val="99"/>
    <w:rsid w:val="00A314DF"/>
    <w:pPr>
      <w:numPr>
        <w:numId w:val="5"/>
      </w:numPr>
    </w:pPr>
  </w:style>
  <w:style w:type="character" w:customStyle="1" w:styleId="30">
    <w:name w:val="Заголовок 3 Знак"/>
    <w:basedOn w:val="a0"/>
    <w:link w:val="3"/>
    <w:uiPriority w:val="9"/>
    <w:rsid w:val="00420F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20F0F"/>
    <w:rPr>
      <w:b/>
      <w:bCs/>
    </w:rPr>
  </w:style>
  <w:style w:type="paragraph" w:styleId="a4">
    <w:name w:val="Normal (Web)"/>
    <w:basedOn w:val="a"/>
    <w:uiPriority w:val="99"/>
    <w:semiHidden/>
    <w:unhideWhenUsed/>
    <w:rsid w:val="0042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420F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51219"/>
    <w:pPr>
      <w:ind w:left="720"/>
    </w:pPr>
  </w:style>
  <w:style w:type="paragraph" w:styleId="a7">
    <w:name w:val="header"/>
    <w:basedOn w:val="a"/>
    <w:link w:val="a8"/>
    <w:uiPriority w:val="99"/>
    <w:unhideWhenUsed/>
    <w:rsid w:val="0015121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1219"/>
    <w:rPr>
      <w:rFonts w:ascii="Arial" w:hAnsi="Arial"/>
      <w:sz w:val="24"/>
    </w:rPr>
  </w:style>
  <w:style w:type="paragraph" w:styleId="a9">
    <w:name w:val="footer"/>
    <w:basedOn w:val="a"/>
    <w:link w:val="aa"/>
    <w:uiPriority w:val="99"/>
    <w:unhideWhenUsed/>
    <w:rsid w:val="0015121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121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cons/cgi/online.cgi?from=191881-47&amp;req=doc&amp;base=LAW&amp;n=495003&amp;rnd=grrPw" TargetMode="External"/><Relationship Id="rId13" Type="http://schemas.openxmlformats.org/officeDocument/2006/relationships/hyperlink" Target="https://service.nalog.ru/o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cons/cgi/online.cgi?from=191881-47&amp;req=doc&amp;base=LAW&amp;n=495003&amp;rnd=grrPw" TargetMode="External"/><Relationship Id="rId12" Type="http://schemas.openxmlformats.org/officeDocument/2006/relationships/hyperlink" Target="https://www.nalog.ru/rn77/about_fts/docs/5847949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34661/576eb0d9f3ac428f33ddf9619cae32c162c235dc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nalog.ru/rn77/related_activities/foreign_cli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1261086/?ysclid=mkco8codmc570596634" TargetMode="External"/><Relationship Id="rId14" Type="http://schemas.openxmlformats.org/officeDocument/2006/relationships/hyperlink" Target="https://www.nalog.ru/html/sites/www.new.nalog.ru/doc/ruk_rulesotche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Александр Александрович</dc:creator>
  <cp:keywords/>
  <dc:description/>
  <cp:lastModifiedBy>Тищенко Александр Александрович</cp:lastModifiedBy>
  <cp:revision>2</cp:revision>
  <dcterms:created xsi:type="dcterms:W3CDTF">2026-01-13T09:39:00Z</dcterms:created>
  <dcterms:modified xsi:type="dcterms:W3CDTF">2026-01-13T10:10:00Z</dcterms:modified>
</cp:coreProperties>
</file>